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49CDB24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AD315B">
        <w:rPr>
          <w:rFonts w:asciiTheme="minorHAnsi" w:hAnsiTheme="minorHAnsi" w:cstheme="minorHAnsi"/>
          <w:b/>
          <w:sz w:val="20"/>
          <w:szCs w:val="20"/>
        </w:rPr>
        <w:t>2</w:t>
      </w:r>
      <w:r w:rsidR="003F697C">
        <w:rPr>
          <w:rFonts w:asciiTheme="minorHAnsi" w:hAnsiTheme="minorHAnsi" w:cstheme="minorHAnsi"/>
          <w:b/>
          <w:sz w:val="20"/>
          <w:szCs w:val="20"/>
        </w:rPr>
        <w:t>1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56376AFC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3F697C">
        <w:rPr>
          <w:rFonts w:asciiTheme="minorHAnsi" w:hAnsiTheme="minorHAnsi" w:cstheme="minorHAnsi"/>
          <w:b/>
          <w:sz w:val="20"/>
          <w:szCs w:val="20"/>
          <w:lang w:eastAsia="en-US"/>
        </w:rPr>
        <w:t>4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AD315B">
        <w:rPr>
          <w:rFonts w:asciiTheme="minorHAnsi" w:hAnsiTheme="minorHAnsi" w:cstheme="minorHAnsi"/>
          <w:b/>
          <w:sz w:val="20"/>
          <w:szCs w:val="20"/>
          <w:lang w:eastAsia="en-US"/>
        </w:rPr>
        <w:t>S</w:t>
      </w:r>
      <w:r w:rsidR="003F697C">
        <w:rPr>
          <w:rFonts w:asciiTheme="minorHAnsi" w:hAnsiTheme="minorHAnsi" w:cstheme="minorHAnsi"/>
          <w:b/>
          <w:sz w:val="20"/>
          <w:szCs w:val="20"/>
          <w:lang w:eastAsia="en-US"/>
        </w:rPr>
        <w:t>trzelno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2B913872" w14:textId="77777777" w:rsidR="006C1C2E" w:rsidRPr="0098097A" w:rsidRDefault="006C1C2E" w:rsidP="006C1C2E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7D2F441A" w14:textId="77777777" w:rsidR="006C1C2E" w:rsidRPr="0098097A" w:rsidRDefault="006C1C2E" w:rsidP="006C1C2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19549FB8" w14:textId="77777777" w:rsidR="006C1C2E" w:rsidRPr="0098097A" w:rsidRDefault="006C1C2E" w:rsidP="006C1C2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5E801C80" w14:textId="77777777" w:rsidR="006C1C2E" w:rsidRPr="0098097A" w:rsidRDefault="006C1C2E" w:rsidP="006C1C2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73D23F5A" w14:textId="77777777" w:rsidR="006C1C2E" w:rsidRPr="0098097A" w:rsidRDefault="006C1C2E" w:rsidP="006C1C2E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63D54C44" w14:textId="77777777" w:rsidR="006C1C2E" w:rsidRDefault="006C1C2E" w:rsidP="006C1C2E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8DBAE30" w14:textId="1422E0A7" w:rsidR="006C1C2E" w:rsidRDefault="006C1C2E" w:rsidP="006C1C2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88516C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6EB626F9" w14:textId="5E8123F2" w:rsidR="006C1C2E" w:rsidRDefault="006C1C2E" w:rsidP="006C1C2E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88516C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88516C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D021FDB" w14:textId="77777777" w:rsidR="006C1C2E" w:rsidRDefault="006C1C2E" w:rsidP="006C1C2E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2F8F67E3" w14:textId="69FA70D2" w:rsidR="006C1C2E" w:rsidRPr="00217324" w:rsidRDefault="006C1C2E" w:rsidP="0088516C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47C70FD7" w14:textId="77777777" w:rsidR="0088516C" w:rsidRPr="00C91A4B" w:rsidRDefault="0088516C" w:rsidP="0088516C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3AB785FE" w14:textId="77777777" w:rsidR="0088516C" w:rsidRPr="00C91A4B" w:rsidRDefault="0088516C" w:rsidP="0088516C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2D9C47C7" w14:textId="77777777" w:rsidR="0088516C" w:rsidRPr="00C91A4B" w:rsidRDefault="0088516C" w:rsidP="0088516C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2FDF2" w14:textId="77777777" w:rsidR="00967873" w:rsidRDefault="00967873" w:rsidP="00E64843">
      <w:pPr>
        <w:spacing w:before="0"/>
      </w:pPr>
      <w:r>
        <w:separator/>
      </w:r>
    </w:p>
  </w:endnote>
  <w:endnote w:type="continuationSeparator" w:id="0">
    <w:p w14:paraId="1159DC45" w14:textId="77777777" w:rsidR="00967873" w:rsidRDefault="00967873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9F3ED" w14:textId="77777777" w:rsidR="00967873" w:rsidRDefault="00967873" w:rsidP="00E64843">
      <w:pPr>
        <w:spacing w:before="0"/>
      </w:pPr>
      <w:r>
        <w:separator/>
      </w:r>
    </w:p>
  </w:footnote>
  <w:footnote w:type="continuationSeparator" w:id="0">
    <w:p w14:paraId="3784FF85" w14:textId="77777777" w:rsidR="00967873" w:rsidRDefault="00967873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3F697C"/>
    <w:rsid w:val="004162A5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1C2E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8516C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67873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D315B"/>
    <w:rsid w:val="00AF1EBC"/>
    <w:rsid w:val="00AF65E6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27426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1774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2026-01-14T07:55:00Z</dcterms:created>
  <dcterms:modified xsi:type="dcterms:W3CDTF">2026-01-20T07:30:00Z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